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29F23" w14:textId="6EA97997" w:rsidR="009F6517" w:rsidRPr="0052548E" w:rsidRDefault="009F6517" w:rsidP="009F651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R1-1907172</w:t>
      </w:r>
    </w:p>
    <w:p w14:paraId="118005E4" w14:textId="77777777" w:rsidR="009F6517" w:rsidRPr="009513AC" w:rsidRDefault="009F6517" w:rsidP="009F65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62DE02F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23B9EF75"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9F6517" w:rsidRPr="009F6517">
        <w:rPr>
          <w:rFonts w:ascii="Arial" w:hAnsi="Arial"/>
          <w:sz w:val="28"/>
          <w:szCs w:val="28"/>
        </w:rPr>
        <w:t>On Full power Transmission for UL</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D541B1">
            <w:pPr>
              <w:numPr>
                <w:ilvl w:val="0"/>
                <w:numId w:val="5"/>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256AC" w:rsidRDefault="002C60A5" w:rsidP="00D541B1">
            <w:pPr>
              <w:numPr>
                <w:ilvl w:val="1"/>
                <w:numId w:val="5"/>
              </w:numPr>
              <w:snapToGrid w:val="0"/>
              <w:spacing w:after="120"/>
              <w:ind w:right="-99"/>
              <w:textAlignment w:val="auto"/>
              <w:rPr>
                <w:i/>
                <w:sz w:val="24"/>
                <w:lang w:eastAsia="ko-KR"/>
              </w:rPr>
            </w:pPr>
            <w:r w:rsidRPr="006256AC">
              <w:rPr>
                <w:rFonts w:eastAsia="Malgun Gothic" w:hint="eastAsia"/>
                <w:i/>
                <w:sz w:val="24"/>
                <w:lang w:eastAsia="ko-KR"/>
              </w:rPr>
              <w:t xml:space="preserve">Perform study and make conclusion in the first RAN1 meeting after start of the WI, and if needed, specify </w:t>
            </w:r>
            <w:r w:rsidRPr="006256AC">
              <w:rPr>
                <w:i/>
                <w:sz w:val="24"/>
              </w:rPr>
              <w:t>CSI-RS</w:t>
            </w:r>
            <w:r w:rsidRPr="006256AC">
              <w:rPr>
                <w:rFonts w:eastAsia="Malgun Gothic" w:hint="eastAsia"/>
                <w:i/>
                <w:sz w:val="24"/>
                <w:lang w:eastAsia="ko-KR"/>
              </w:rPr>
              <w:t xml:space="preserve"> and </w:t>
            </w:r>
            <w:r w:rsidRPr="006256AC">
              <w:rPr>
                <w:i/>
                <w:sz w:val="24"/>
              </w:rPr>
              <w:t>DMRS</w:t>
            </w:r>
            <w:r w:rsidRPr="006256AC">
              <w:rPr>
                <w:rFonts w:eastAsia="Malgun Gothic" w:hint="eastAsia"/>
                <w:i/>
                <w:sz w:val="24"/>
                <w:lang w:eastAsia="ko-KR"/>
              </w:rPr>
              <w:t xml:space="preserve"> (both downlink and uplink) enhancement for PAPR reduction for one or multiple layers (no </w:t>
            </w:r>
            <w:r w:rsidRPr="006256AC">
              <w:rPr>
                <w:rFonts w:eastAsia="Malgun Gothic"/>
                <w:i/>
                <w:sz w:val="24"/>
                <w:lang w:eastAsia="ko-KR"/>
              </w:rPr>
              <w:t>change</w:t>
            </w:r>
            <w:r w:rsidRPr="006256AC">
              <w:rPr>
                <w:rFonts w:eastAsia="Malgun Gothic" w:hint="eastAsia"/>
                <w:i/>
                <w:sz w:val="24"/>
                <w:lang w:eastAsia="ko-KR"/>
              </w:rPr>
              <w:t xml:space="preserve"> on RE mapping specified in Rel-15)</w:t>
            </w:r>
          </w:p>
          <w:p w14:paraId="6F3F7DA8" w14:textId="617A5E38" w:rsidR="002C60A5" w:rsidRPr="006256AC" w:rsidRDefault="002C60A5" w:rsidP="00D541B1">
            <w:pPr>
              <w:numPr>
                <w:ilvl w:val="1"/>
                <w:numId w:val="5"/>
              </w:numPr>
              <w:snapToGrid w:val="0"/>
              <w:spacing w:after="120"/>
              <w:ind w:right="-99"/>
              <w:textAlignment w:val="auto"/>
              <w:rPr>
                <w:b/>
                <w:i/>
                <w:sz w:val="24"/>
                <w:lang w:eastAsia="ko-KR"/>
              </w:rPr>
            </w:pPr>
            <w:r w:rsidRPr="006256AC">
              <w:rPr>
                <w:rFonts w:eastAsia="Malgun Gothic" w:hint="eastAsia"/>
                <w:b/>
                <w:i/>
                <w:sz w:val="24"/>
                <w:lang w:eastAsia="ko-KR"/>
              </w:rPr>
              <w:lastRenderedPageBreak/>
              <w:t>Specify enhancement to allow full power transmission in case of uplink transmission with multiple power amplifiers (assume no change on UE power class)</w:t>
            </w:r>
          </w:p>
        </w:tc>
      </w:tr>
    </w:tbl>
    <w:p w14:paraId="053FB03D" w14:textId="77777777" w:rsidR="00490F34" w:rsidRDefault="00490F34" w:rsidP="00511B6D">
      <w:pPr>
        <w:jc w:val="both"/>
        <w:rPr>
          <w:rFonts w:asciiTheme="minorHAnsi" w:hAnsiTheme="minorHAnsi"/>
          <w:lang w:eastAsia="x-none"/>
        </w:rPr>
      </w:pPr>
    </w:p>
    <w:p w14:paraId="1EE09F53" w14:textId="671DF348" w:rsidR="00DF3A91" w:rsidRPr="00DF3A91" w:rsidRDefault="00DF3A91" w:rsidP="00511B6D">
      <w:pPr>
        <w:jc w:val="both"/>
        <w:rPr>
          <w:sz w:val="24"/>
          <w:szCs w:val="24"/>
          <w:lang w:eastAsia="x-none"/>
        </w:rPr>
      </w:pPr>
      <w:r w:rsidRPr="00DF3A91">
        <w:rPr>
          <w:sz w:val="24"/>
          <w:szCs w:val="24"/>
          <w:lang w:eastAsia="x-none"/>
        </w:rPr>
        <w:t>In RAN1#94bis, the following agreements were made:</w:t>
      </w:r>
    </w:p>
    <w:p w14:paraId="104EAD57" w14:textId="77777777" w:rsidR="00DF3A91" w:rsidRPr="00DF3A91" w:rsidRDefault="00DF3A91" w:rsidP="00DF3A91">
      <w:pPr>
        <w:ind w:left="720" w:hanging="720"/>
        <w:rPr>
          <w:sz w:val="24"/>
          <w:szCs w:val="24"/>
          <w:highlight w:val="green"/>
          <w:u w:val="single"/>
        </w:rPr>
      </w:pPr>
      <w:r w:rsidRPr="00DF3A91">
        <w:rPr>
          <w:sz w:val="24"/>
          <w:szCs w:val="24"/>
          <w:highlight w:val="green"/>
          <w:u w:val="single"/>
        </w:rPr>
        <w:t>Agreement</w:t>
      </w:r>
    </w:p>
    <w:p w14:paraId="355C8F30" w14:textId="77777777" w:rsidR="00DF3A91" w:rsidRPr="00DF3A91" w:rsidRDefault="00DF3A91" w:rsidP="00DF3A91">
      <w:pPr>
        <w:rPr>
          <w:sz w:val="24"/>
          <w:szCs w:val="24"/>
        </w:rPr>
      </w:pPr>
      <w:r w:rsidRPr="00DF3A91">
        <w:rPr>
          <w:sz w:val="24"/>
          <w:szCs w:val="24"/>
        </w:rPr>
        <w:t>Consider the following potential solutions and other solutions (such as combination of the solutions below) for UL full power transmission. Decision will be made in RAN1#95:</w:t>
      </w:r>
    </w:p>
    <w:p w14:paraId="3AEE0133"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1: Refinement/adjustment of UL codebook is supported</w:t>
      </w:r>
    </w:p>
    <w:p w14:paraId="57B0D66C"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1-1: Support a new codebookSubset for non-coherent and partial-coherent transmission capable UEs</w:t>
      </w:r>
    </w:p>
    <w:p w14:paraId="361EBF5B"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1-2: Introduce additional scaling factor for uplink codebook</w:t>
      </w:r>
    </w:p>
    <w:p w14:paraId="549FE2E5"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2: UE transparently apply a small cyclic or linear delay</w:t>
      </w:r>
    </w:p>
    <w:p w14:paraId="14D0470E"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3: Power control mechanism to be modified to support UL full power transmission without precluding the use of full rated PA(s)</w:t>
      </w:r>
    </w:p>
    <w:p w14:paraId="1542B217"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Note: Full rated PA refers to a PA having power not lower than that of the power class</w:t>
      </w:r>
    </w:p>
    <w:p w14:paraId="3AB6D334" w14:textId="77777777" w:rsid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4: Up to UE implementation (no specification impact)</w:t>
      </w:r>
    </w:p>
    <w:p w14:paraId="62F9DC33" w14:textId="77777777" w:rsidR="0051701B" w:rsidRDefault="0051701B" w:rsidP="0051701B">
      <w:pPr>
        <w:contextualSpacing/>
        <w:rPr>
          <w:sz w:val="24"/>
          <w:szCs w:val="24"/>
        </w:rPr>
      </w:pPr>
    </w:p>
    <w:p w14:paraId="2384019A" w14:textId="3F434A0A" w:rsidR="0051701B" w:rsidRPr="00DF3A91" w:rsidRDefault="0051701B" w:rsidP="0051701B">
      <w:pPr>
        <w:jc w:val="both"/>
        <w:rPr>
          <w:sz w:val="24"/>
          <w:szCs w:val="24"/>
          <w:lang w:eastAsia="x-none"/>
        </w:rPr>
      </w:pPr>
      <w:r>
        <w:rPr>
          <w:sz w:val="24"/>
          <w:szCs w:val="24"/>
          <w:lang w:eastAsia="x-none"/>
        </w:rPr>
        <w:t>In RAN1#95</w:t>
      </w:r>
      <w:r w:rsidRPr="00DF3A91">
        <w:rPr>
          <w:sz w:val="24"/>
          <w:szCs w:val="24"/>
          <w:lang w:eastAsia="x-none"/>
        </w:rPr>
        <w:t>, the following agreements were made:</w:t>
      </w:r>
    </w:p>
    <w:p w14:paraId="01653A8E" w14:textId="77777777" w:rsidR="0051701B" w:rsidRDefault="0051701B" w:rsidP="0051701B">
      <w:pPr>
        <w:contextualSpacing/>
        <w:rPr>
          <w:sz w:val="24"/>
          <w:szCs w:val="24"/>
        </w:rPr>
      </w:pPr>
    </w:p>
    <w:p w14:paraId="17560BE2" w14:textId="77777777" w:rsidR="0051701B" w:rsidRPr="00DF3A91" w:rsidRDefault="0051701B" w:rsidP="0051701B">
      <w:pPr>
        <w:ind w:left="720" w:hanging="720"/>
        <w:rPr>
          <w:sz w:val="24"/>
          <w:szCs w:val="24"/>
          <w:highlight w:val="green"/>
          <w:u w:val="single"/>
        </w:rPr>
      </w:pPr>
      <w:r w:rsidRPr="00DF3A91">
        <w:rPr>
          <w:sz w:val="24"/>
          <w:szCs w:val="24"/>
          <w:highlight w:val="green"/>
          <w:u w:val="single"/>
        </w:rPr>
        <w:t>Agreement</w:t>
      </w:r>
    </w:p>
    <w:p w14:paraId="7FAB096A" w14:textId="77777777" w:rsidR="0051701B" w:rsidRPr="00AA5C88" w:rsidRDefault="0051701B" w:rsidP="0051701B">
      <w:pPr>
        <w:rPr>
          <w:sz w:val="24"/>
          <w:szCs w:val="24"/>
        </w:rPr>
      </w:pPr>
      <w:r w:rsidRPr="00AA5C88">
        <w:rPr>
          <w:sz w:val="24"/>
          <w:szCs w:val="24"/>
        </w:rPr>
        <w:t xml:space="preserve">Full TX power UL transmission with multiple power amplifier is supported </w:t>
      </w:r>
      <w:r w:rsidRPr="00AA5C88">
        <w:rPr>
          <w:color w:val="FF0000"/>
          <w:sz w:val="24"/>
          <w:szCs w:val="24"/>
        </w:rPr>
        <w:t>at least</w:t>
      </w:r>
      <w:r w:rsidRPr="00AA5C88">
        <w:rPr>
          <w:sz w:val="24"/>
          <w:szCs w:val="24"/>
        </w:rPr>
        <w:t xml:space="preserve"> for codebook based UL transmission for non-coherent and partial/non-coherent capable UEs</w:t>
      </w:r>
    </w:p>
    <w:p w14:paraId="5F95211D" w14:textId="77777777" w:rsidR="0051701B" w:rsidRPr="00AA5C88" w:rsidRDefault="0051701B" w:rsidP="00D541B1">
      <w:pPr>
        <w:pStyle w:val="ListParagraph"/>
        <w:numPr>
          <w:ilvl w:val="0"/>
          <w:numId w:val="7"/>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This specification support is a UE optional feature</w:t>
      </w:r>
    </w:p>
    <w:p w14:paraId="77244E3E" w14:textId="77777777" w:rsidR="0051701B" w:rsidRPr="00AA5C88" w:rsidRDefault="0051701B" w:rsidP="00D541B1">
      <w:pPr>
        <w:pStyle w:val="ListParagraph"/>
        <w:numPr>
          <w:ilvl w:val="0"/>
          <w:numId w:val="7"/>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FFS: Whether this applies for the entire codebook or subset of codebook</w:t>
      </w:r>
    </w:p>
    <w:p w14:paraId="6F012293" w14:textId="77777777" w:rsidR="00CA5848" w:rsidRPr="00022EF0" w:rsidRDefault="00CA5848" w:rsidP="00CA5848">
      <w:pPr>
        <w:rPr>
          <w:rFonts w:eastAsia="Malgun Gothic"/>
          <w:sz w:val="24"/>
          <w:szCs w:val="28"/>
          <w:highlight w:val="green"/>
          <w:u w:val="single"/>
          <w:lang w:eastAsia="zh-CN"/>
        </w:rPr>
      </w:pPr>
      <w:r w:rsidRPr="00022EF0">
        <w:rPr>
          <w:rFonts w:eastAsia="Malgun Gothic"/>
          <w:sz w:val="24"/>
          <w:szCs w:val="28"/>
          <w:highlight w:val="green"/>
          <w:u w:val="single"/>
          <w:lang w:eastAsia="zh-CN"/>
        </w:rPr>
        <w:t>Agreement</w:t>
      </w:r>
    </w:p>
    <w:p w14:paraId="199866ED" w14:textId="77777777" w:rsidR="00CA5848" w:rsidRPr="00022EF0" w:rsidRDefault="00CA5848" w:rsidP="00CA5848">
      <w:pPr>
        <w:rPr>
          <w:rFonts w:eastAsia="Malgun Gothic"/>
          <w:sz w:val="24"/>
          <w:szCs w:val="24"/>
          <w:lang w:eastAsia="zh-CN"/>
        </w:rPr>
      </w:pPr>
      <w:r w:rsidRPr="00022EF0">
        <w:rPr>
          <w:sz w:val="24"/>
          <w:szCs w:val="24"/>
        </w:rPr>
        <w:t>Full TX power UL transmission, one</w:t>
      </w:r>
      <w:r w:rsidRPr="00022EF0">
        <w:rPr>
          <w:rFonts w:eastAsia="Malgun Gothic"/>
          <w:sz w:val="24"/>
          <w:szCs w:val="24"/>
          <w:lang w:eastAsia="zh-CN"/>
        </w:rPr>
        <w:t xml:space="preserve"> additional option (option 5) is added</w:t>
      </w:r>
    </w:p>
    <w:p w14:paraId="06B15FF4" w14:textId="77777777" w:rsidR="00CA5848" w:rsidRPr="00022EF0" w:rsidRDefault="00CA5848" w:rsidP="00CA5848">
      <w:pPr>
        <w:tabs>
          <w:tab w:val="left" w:pos="1540"/>
        </w:tabs>
        <w:spacing w:line="256" w:lineRule="auto"/>
        <w:contextualSpacing/>
        <w:rPr>
          <w:sz w:val="24"/>
          <w:szCs w:val="24"/>
        </w:rPr>
      </w:pPr>
      <w:r w:rsidRPr="00022EF0">
        <w:rPr>
          <w:rFonts w:eastAsia="Malgun Gothic"/>
          <w:b/>
          <w:sz w:val="24"/>
          <w:szCs w:val="24"/>
          <w:lang w:eastAsia="zh-CN"/>
        </w:rPr>
        <w:t xml:space="preserve">Option5: </w:t>
      </w:r>
      <w:r w:rsidRPr="00022EF0">
        <w:rPr>
          <w:rFonts w:eastAsia="Malgun Gothic"/>
          <w:sz w:val="24"/>
          <w:szCs w:val="24"/>
          <w:lang w:eastAsia="zh-CN"/>
        </w:rPr>
        <w:t>For the precoders with 0 entries, t</w:t>
      </w:r>
      <w:r w:rsidRPr="00022EF0">
        <w:rPr>
          <w:sz w:val="24"/>
          <w:szCs w:val="24"/>
        </w:rPr>
        <w:t xml:space="preserve">he linear value </w:t>
      </w:r>
      <w:r w:rsidRPr="00022EF0">
        <w:rPr>
          <w:position w:val="-14"/>
          <w:sz w:val="24"/>
          <w:szCs w:val="24"/>
        </w:rPr>
        <w:object w:dxaOrig="1980" w:dyaOrig="420" w14:anchorId="2A2F2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22.2pt" o:ole="">
            <v:imagedata r:id="rId8" o:title=""/>
          </v:shape>
          <o:OLEObject Type="Embed" ProgID="Equation.DSMT4" ShapeID="_x0000_i1025" DrawAspect="Content" ObjectID="_1618410840" r:id="rId9"/>
        </w:object>
      </w:r>
      <w:r w:rsidRPr="00022EF0">
        <w:rPr>
          <w:sz w:val="24"/>
          <w:szCs w:val="24"/>
        </w:rPr>
        <w:fldChar w:fldCharType="begin"/>
      </w:r>
      <w:r w:rsidRPr="00022EF0">
        <w:rPr>
          <w:sz w:val="24"/>
          <w:szCs w:val="24"/>
        </w:rPr>
        <w:instrText xml:space="preserve"> QUOTE </w:instrText>
      </w:r>
      <m:oMath>
        <m:sSub>
          <m:sSubPr>
            <m:ctrlPr>
              <w:rPr>
                <w:rFonts w:ascii="Cambria Math" w:hAnsi="Cambria Math"/>
                <w:sz w:val="24"/>
                <w:szCs w:val="24"/>
              </w:rPr>
            </m:ctrlPr>
          </m:sSubPr>
          <m:e>
            <m:acc>
              <m:accPr>
                <m:ctrlPr>
                  <w:rPr>
                    <w:rFonts w:ascii="Cambria Math" w:hAnsi="Cambria Math"/>
                    <w:sz w:val="24"/>
                    <w:szCs w:val="24"/>
                  </w:rPr>
                </m:ctrlPr>
              </m:accPr>
              <m:e>
                <m:r>
                  <m:rPr>
                    <m:sty m:val="p"/>
                  </m:rPr>
                  <w:rPr>
                    <w:rFonts w:ascii="Cambria Math" w:hAnsi="Cambria Math"/>
                    <w:sz w:val="24"/>
                    <w:szCs w:val="24"/>
                  </w:rPr>
                  <m:t>P</m:t>
                </m:r>
              </m:e>
            </m:acc>
          </m:e>
          <m:sub>
            <m:r>
              <m:rPr>
                <m:nor/>
              </m:rPr>
              <w:rPr>
                <w:sz w:val="24"/>
                <w:szCs w:val="24"/>
              </w:rPr>
              <m:t>PUSCH</m:t>
            </m:r>
            <m:r>
              <m:rPr>
                <m:sty m:val="p"/>
              </m:rPr>
              <w:rPr>
                <w:rFonts w:ascii="Cambria Math" w:hAnsi="Cambria Math"/>
                <w:sz w:val="24"/>
                <w:szCs w:val="24"/>
              </w:rPr>
              <m:t>,b,f,c</m:t>
            </m:r>
          </m:sub>
        </m:sSub>
        <m:r>
          <m:rPr>
            <m:sty m:val="p"/>
          </m:rPr>
          <w:rPr>
            <w:rFonts w:ascii="Cambria Math" w:hAnsi="Cambria Math"/>
            <w:sz w:val="24"/>
            <w:szCs w:val="24"/>
          </w:rPr>
          <m:t>(i,j,</m:t>
        </m:r>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d</m:t>
            </m:r>
          </m:sub>
        </m:sSub>
        <m:r>
          <m:rPr>
            <m:sty m:val="p"/>
          </m:rPr>
          <w:rPr>
            <w:rFonts w:ascii="Cambria Math" w:hAnsi="Cambria Math"/>
            <w:sz w:val="24"/>
            <w:szCs w:val="24"/>
          </w:rPr>
          <m:t>,l)</m:t>
        </m:r>
      </m:oMath>
      <w:r w:rsidRPr="00022EF0">
        <w:rPr>
          <w:sz w:val="24"/>
          <w:szCs w:val="24"/>
        </w:rPr>
        <w:instrText xml:space="preserve"> </w:instrText>
      </w:r>
      <w:r w:rsidRPr="00022EF0">
        <w:rPr>
          <w:sz w:val="24"/>
          <w:szCs w:val="24"/>
        </w:rPr>
        <w:fldChar w:fldCharType="end"/>
      </w:r>
      <w:r w:rsidRPr="00022EF0">
        <w:rPr>
          <w:sz w:val="24"/>
          <w:szCs w:val="24"/>
        </w:rPr>
        <w:t xml:space="preserve"> of a PUSCH transmission power is scaled by a ratio </w:t>
      </w:r>
      <w:r w:rsidRPr="00022EF0">
        <w:rPr>
          <w:sz w:val="24"/>
          <w:szCs w:val="24"/>
        </w:rPr>
        <w:sym w:font="Symbol" w:char="F061"/>
      </w:r>
      <w:r w:rsidRPr="00022EF0">
        <w:rPr>
          <w:sz w:val="24"/>
          <w:szCs w:val="24"/>
          <w:vertAlign w:val="subscript"/>
        </w:rPr>
        <w:t>Rel-16</w:t>
      </w:r>
      <w:r w:rsidRPr="00022EF0">
        <w:rPr>
          <w:sz w:val="24"/>
          <w:szCs w:val="24"/>
        </w:rPr>
        <w:t xml:space="preserve">.  The value of </w:t>
      </w:r>
      <w:r w:rsidRPr="00022EF0">
        <w:rPr>
          <w:sz w:val="24"/>
          <w:szCs w:val="24"/>
        </w:rPr>
        <w:sym w:font="Symbol" w:char="F061"/>
      </w:r>
      <w:r w:rsidRPr="00022EF0">
        <w:rPr>
          <w:sz w:val="24"/>
          <w:szCs w:val="24"/>
          <w:vertAlign w:val="subscript"/>
        </w:rPr>
        <w:t>Rel-16</w:t>
      </w:r>
      <w:r w:rsidRPr="00022EF0">
        <w:rPr>
          <w:sz w:val="24"/>
          <w:szCs w:val="24"/>
        </w:rPr>
        <w:t xml:space="preserve"> is selected up to UE implementation within the range of [</w:t>
      </w:r>
      <w:r w:rsidRPr="00022EF0">
        <w:rPr>
          <w:sz w:val="24"/>
          <w:szCs w:val="24"/>
        </w:rPr>
        <w:sym w:font="Symbol" w:char="F061"/>
      </w:r>
      <w:r w:rsidRPr="00022EF0">
        <w:rPr>
          <w:sz w:val="24"/>
          <w:szCs w:val="24"/>
          <w:vertAlign w:val="subscript"/>
        </w:rPr>
        <w:t>Rel-15</w:t>
      </w:r>
      <w:r w:rsidRPr="00022EF0">
        <w:rPr>
          <w:sz w:val="24"/>
          <w:szCs w:val="24"/>
        </w:rPr>
        <w:t xml:space="preserve">, 1],  where </w:t>
      </w:r>
      <w:r w:rsidRPr="00022EF0">
        <w:rPr>
          <w:sz w:val="24"/>
          <w:szCs w:val="24"/>
        </w:rPr>
        <w:sym w:font="Symbol" w:char="F061"/>
      </w:r>
      <w:r w:rsidRPr="00022EF0">
        <w:rPr>
          <w:sz w:val="24"/>
          <w:szCs w:val="24"/>
          <w:vertAlign w:val="subscript"/>
        </w:rPr>
        <w:t>Rel-15</w:t>
      </w:r>
      <w:r w:rsidRPr="00022EF0">
        <w:rPr>
          <w:sz w:val="24"/>
          <w:szCs w:val="24"/>
        </w:rPr>
        <w:t xml:space="preserve"> is the ratio of the number of antenna ports with a non-zero PUSCH transmission power to the number of configured antenna ports for the PUSCH transmission scheme as defined in NR Rel-15 specification.  </w:t>
      </w:r>
    </w:p>
    <w:p w14:paraId="5DBABC8D" w14:textId="77777777" w:rsidR="00CA5848" w:rsidRPr="00022EF0" w:rsidRDefault="00CA5848" w:rsidP="00D541B1">
      <w:pPr>
        <w:pStyle w:val="ListParagraph"/>
        <w:numPr>
          <w:ilvl w:val="0"/>
          <w:numId w:val="8"/>
        </w:numPr>
        <w:overflowPunct w:val="0"/>
        <w:autoSpaceDE w:val="0"/>
        <w:autoSpaceDN w:val="0"/>
        <w:adjustRightInd w:val="0"/>
        <w:spacing w:after="180"/>
        <w:contextualSpacing/>
        <w:textAlignment w:val="baseline"/>
        <w:rPr>
          <w:rFonts w:ascii="Times New Roman" w:eastAsia="Malgun Gothic" w:hAnsi="Times New Roman"/>
          <w:sz w:val="24"/>
          <w:szCs w:val="24"/>
          <w:lang w:eastAsia="zh-CN"/>
        </w:rPr>
      </w:pPr>
      <w:r w:rsidRPr="00022EF0">
        <w:rPr>
          <w:rFonts w:ascii="Times New Roman" w:hAnsi="Times New Roman"/>
          <w:sz w:val="24"/>
          <w:szCs w:val="24"/>
        </w:rPr>
        <w:t xml:space="preserve">UE is required to maintain consistent </w:t>
      </w:r>
      <w:r w:rsidRPr="00022EF0">
        <w:rPr>
          <w:rFonts w:ascii="Times New Roman" w:hAnsi="Times New Roman"/>
          <w:sz w:val="24"/>
          <w:szCs w:val="24"/>
        </w:rPr>
        <w:sym w:font="Symbol" w:char="F061"/>
      </w:r>
      <w:r w:rsidRPr="00022EF0">
        <w:rPr>
          <w:rFonts w:ascii="Times New Roman" w:hAnsi="Times New Roman"/>
          <w:sz w:val="24"/>
          <w:szCs w:val="24"/>
          <w:vertAlign w:val="subscript"/>
        </w:rPr>
        <w:t>Rel-16</w:t>
      </w:r>
      <w:r w:rsidRPr="00022EF0">
        <w:rPr>
          <w:rFonts w:ascii="Times New Roman" w:hAnsi="Times New Roman"/>
          <w:sz w:val="24"/>
          <w:szCs w:val="24"/>
        </w:rPr>
        <w:fldChar w:fldCharType="begin"/>
      </w:r>
      <w:r w:rsidRPr="00022EF0">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Rel-16</m:t>
            </m:r>
          </m:sub>
        </m:sSub>
      </m:oMath>
      <w:r w:rsidRPr="00022EF0">
        <w:rPr>
          <w:rFonts w:ascii="Times New Roman" w:hAnsi="Times New Roman"/>
          <w:sz w:val="24"/>
          <w:szCs w:val="24"/>
        </w:rPr>
        <w:instrText xml:space="preserve"> </w:instrText>
      </w:r>
      <w:r w:rsidRPr="00022EF0">
        <w:rPr>
          <w:rFonts w:ascii="Times New Roman" w:hAnsi="Times New Roman"/>
          <w:sz w:val="24"/>
          <w:szCs w:val="24"/>
        </w:rPr>
        <w:fldChar w:fldCharType="end"/>
      </w:r>
      <w:r w:rsidRPr="00022EF0">
        <w:rPr>
          <w:rFonts w:ascii="Times New Roman" w:hAnsi="Times New Roman"/>
          <w:sz w:val="24"/>
          <w:szCs w:val="24"/>
        </w:rPr>
        <w:t xml:space="preserve"> value on different occasions of PUSCH transmissions with the same precoder for PUSCH</w:t>
      </w:r>
    </w:p>
    <w:p w14:paraId="3B15B6D8" w14:textId="77777777" w:rsidR="00CA5848" w:rsidRPr="00022EF0" w:rsidRDefault="00CA5848" w:rsidP="00CA5848">
      <w:pPr>
        <w:rPr>
          <w:rFonts w:eastAsia="Malgun Gothic"/>
          <w:sz w:val="24"/>
          <w:szCs w:val="28"/>
          <w:highlight w:val="green"/>
          <w:lang w:eastAsia="zh-CN"/>
        </w:rPr>
      </w:pPr>
      <w:r w:rsidRPr="00022EF0">
        <w:rPr>
          <w:rFonts w:eastAsia="Malgun Gothic"/>
          <w:sz w:val="24"/>
          <w:szCs w:val="28"/>
          <w:highlight w:val="green"/>
          <w:lang w:eastAsia="zh-CN"/>
        </w:rPr>
        <w:t>Agreement</w:t>
      </w:r>
    </w:p>
    <w:p w14:paraId="4B146298" w14:textId="77777777" w:rsidR="00CA5848" w:rsidRPr="00022EF0" w:rsidRDefault="00CA5848" w:rsidP="00CA5848">
      <w:pPr>
        <w:rPr>
          <w:rFonts w:eastAsia="Malgun Gothic"/>
          <w:sz w:val="24"/>
          <w:lang w:eastAsia="zh-CN"/>
        </w:rPr>
      </w:pPr>
      <w:r w:rsidRPr="00022EF0">
        <w:rPr>
          <w:rFonts w:cs="Arial"/>
          <w:sz w:val="24"/>
          <w:szCs w:val="28"/>
        </w:rPr>
        <w:t xml:space="preserve">Full TX power UL transmission, </w:t>
      </w:r>
      <w:r w:rsidRPr="00022EF0">
        <w:rPr>
          <w:rFonts w:eastAsia="Malgun Gothic"/>
          <w:sz w:val="24"/>
          <w:lang w:eastAsia="zh-CN"/>
        </w:rPr>
        <w:t>option 4 is updated as follows</w:t>
      </w:r>
    </w:p>
    <w:p w14:paraId="68175129" w14:textId="77777777" w:rsidR="00CA5848" w:rsidRDefault="00CA5848" w:rsidP="00CA5848">
      <w:pPr>
        <w:rPr>
          <w:strike/>
          <w:sz w:val="24"/>
        </w:rPr>
      </w:pPr>
      <w:r w:rsidRPr="00022EF0">
        <w:rPr>
          <w:b/>
          <w:sz w:val="24"/>
        </w:rPr>
        <w:lastRenderedPageBreak/>
        <w:t>Option 4:</w:t>
      </w:r>
      <w:r w:rsidRPr="00022EF0">
        <w:rPr>
          <w:sz w:val="24"/>
        </w:rPr>
        <w:t xml:space="preserve"> Up to UE implementation </w:t>
      </w:r>
      <w:r w:rsidRPr="00022EF0">
        <w:rPr>
          <w:color w:val="FF0000"/>
          <w:sz w:val="24"/>
        </w:rPr>
        <w:t>with UE capability signalling of full power transmission in UL</w:t>
      </w:r>
      <w:r w:rsidRPr="00022EF0">
        <w:rPr>
          <w:sz w:val="24"/>
        </w:rPr>
        <w:t xml:space="preserve"> </w:t>
      </w:r>
      <w:r w:rsidRPr="00022EF0">
        <w:rPr>
          <w:strike/>
          <w:sz w:val="24"/>
        </w:rPr>
        <w:t>(no specification impact)</w:t>
      </w:r>
    </w:p>
    <w:p w14:paraId="7FF6DBA9" w14:textId="77777777" w:rsidR="00C3348F" w:rsidRDefault="00C3348F" w:rsidP="00CA5848">
      <w:pPr>
        <w:rPr>
          <w:strike/>
          <w:sz w:val="24"/>
        </w:rPr>
      </w:pPr>
    </w:p>
    <w:p w14:paraId="1C21C10C" w14:textId="46F65834" w:rsidR="00C3348F" w:rsidRDefault="00C3348F" w:rsidP="00CA5848">
      <w:pPr>
        <w:rPr>
          <w:strike/>
          <w:sz w:val="24"/>
        </w:rPr>
      </w:pPr>
      <w:r w:rsidRPr="00C3348F">
        <w:rPr>
          <w:sz w:val="24"/>
          <w:szCs w:val="24"/>
        </w:rPr>
        <w:t>Full TX</w:t>
      </w:r>
      <w:r>
        <w:rPr>
          <w:sz w:val="24"/>
          <w:szCs w:val="24"/>
        </w:rPr>
        <w:t xml:space="preserve">, In RAN1#AH1901, the following agreements were made </w:t>
      </w:r>
    </w:p>
    <w:p w14:paraId="20A4ABED" w14:textId="77777777" w:rsidR="00C3348F" w:rsidRPr="00C3348F" w:rsidRDefault="00C3348F" w:rsidP="00C3348F">
      <w:pPr>
        <w:ind w:left="1440" w:hanging="1440"/>
        <w:rPr>
          <w:sz w:val="24"/>
          <w:highlight w:val="green"/>
          <w:u w:val="single"/>
          <w:lang w:eastAsia="x-none"/>
        </w:rPr>
      </w:pPr>
      <w:r w:rsidRPr="00C3348F">
        <w:rPr>
          <w:sz w:val="24"/>
          <w:highlight w:val="green"/>
          <w:u w:val="single"/>
          <w:lang w:eastAsia="x-none"/>
        </w:rPr>
        <w:t>Agreement</w:t>
      </w:r>
    </w:p>
    <w:p w14:paraId="68646C27" w14:textId="77777777" w:rsidR="00C3348F" w:rsidRPr="00C3348F" w:rsidRDefault="00C3348F" w:rsidP="00C3348F">
      <w:pPr>
        <w:rPr>
          <w:sz w:val="24"/>
          <w:szCs w:val="24"/>
        </w:rPr>
      </w:pPr>
      <w:r w:rsidRPr="00C3348F">
        <w:rPr>
          <w:sz w:val="24"/>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6F95F1D3"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 xml:space="preserve">UE capability 1: for the UE to support full Tx power in UL transmission, full rated PAs on each Tx chain is supported with a new UE capability </w:t>
      </w:r>
    </w:p>
    <w:p w14:paraId="666B2DCD"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 xml:space="preserve">FFS: detailed power scaling description </w:t>
      </w:r>
    </w:p>
    <w:p w14:paraId="38C8FEF2"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Note: Full Tx power means UE delivers total power of 23dBm for PC3</w:t>
      </w:r>
    </w:p>
    <w:p w14:paraId="11E94BDB"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 xml:space="preserve">UE capability 2: for the UE to support full Tx power in UL transmission, no Tx chain is assumed to deliver full power with the new UE capability </w:t>
      </w:r>
    </w:p>
    <w:p w14:paraId="3E0FBE0A"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FFS: detailed design</w:t>
      </w:r>
    </w:p>
    <w:p w14:paraId="7CFA6949"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UE capability 3: for the UE to support full Tx power in UL transmission, subset of Tx chains with full rated PAs is supported with a new UE capability</w:t>
      </w:r>
    </w:p>
    <w:p w14:paraId="2DA605B0" w14:textId="77777777" w:rsidR="00C3348F" w:rsidRPr="00C3348F" w:rsidRDefault="00C3348F" w:rsidP="00C3348F">
      <w:pPr>
        <w:rPr>
          <w:sz w:val="24"/>
          <w:szCs w:val="24"/>
        </w:rPr>
      </w:pPr>
      <w:r w:rsidRPr="00C3348F">
        <w:rPr>
          <w:sz w:val="24"/>
          <w:szCs w:val="24"/>
        </w:rPr>
        <w:t>FFS: Whether all three capabilities will be specified or a subset will be specified</w:t>
      </w:r>
    </w:p>
    <w:p w14:paraId="553507A1" w14:textId="77777777" w:rsidR="00C3348F" w:rsidRDefault="00C3348F" w:rsidP="00C3348F">
      <w:pPr>
        <w:rPr>
          <w:sz w:val="24"/>
          <w:szCs w:val="24"/>
        </w:rPr>
      </w:pPr>
      <w:r w:rsidRPr="00C3348F">
        <w:rPr>
          <w:sz w:val="24"/>
          <w:szCs w:val="24"/>
        </w:rPr>
        <w:t>FFS: UE capability signalling/reporting details</w:t>
      </w:r>
    </w:p>
    <w:p w14:paraId="6F705A28" w14:textId="5971DC18" w:rsidR="00050160" w:rsidRDefault="00050160" w:rsidP="00C3348F">
      <w:pPr>
        <w:rPr>
          <w:sz w:val="24"/>
          <w:szCs w:val="24"/>
        </w:rPr>
      </w:pPr>
      <w:r>
        <w:rPr>
          <w:sz w:val="24"/>
          <w:szCs w:val="24"/>
        </w:rPr>
        <w:t>In RAN1#96bis, the following agreements were made</w:t>
      </w:r>
    </w:p>
    <w:p w14:paraId="5E2C704F" w14:textId="77777777" w:rsidR="008C3C74" w:rsidRPr="008C3C74" w:rsidRDefault="008C3C74" w:rsidP="008C3C74">
      <w:pPr>
        <w:rPr>
          <w:b/>
          <w:sz w:val="22"/>
          <w:highlight w:val="green"/>
          <w:u w:val="single"/>
        </w:rPr>
      </w:pPr>
      <w:r w:rsidRPr="008C3C74">
        <w:rPr>
          <w:b/>
          <w:sz w:val="22"/>
          <w:highlight w:val="green"/>
          <w:u w:val="single"/>
        </w:rPr>
        <w:t>Agreement</w:t>
      </w:r>
    </w:p>
    <w:p w14:paraId="69DD7823" w14:textId="77777777" w:rsidR="008C3C74" w:rsidRPr="00AD39A8" w:rsidRDefault="008C3C74" w:rsidP="008C3C74">
      <w:r w:rsidRPr="00AD39A8">
        <w:t>Regardless of UE capability 1, 2, or 3, signalling of “UL full power tx capability” is supported for UEs with full power uplink transmission capability</w:t>
      </w:r>
    </w:p>
    <w:p w14:paraId="7056D710" w14:textId="77777777" w:rsidR="008C3C74" w:rsidRPr="00CF11D0" w:rsidRDefault="008C3C74" w:rsidP="008C3C74">
      <w:pPr>
        <w:pStyle w:val="ListParagraph"/>
        <w:numPr>
          <w:ilvl w:val="0"/>
          <w:numId w:val="11"/>
        </w:numPr>
        <w:overflowPunct w:val="0"/>
        <w:autoSpaceDE w:val="0"/>
        <w:autoSpaceDN w:val="0"/>
        <w:adjustRightInd w:val="0"/>
        <w:spacing w:after="180"/>
        <w:contextualSpacing/>
        <w:textAlignment w:val="baseline"/>
      </w:pPr>
      <w:r w:rsidRPr="00CF11D0">
        <w:t>FFS: For UE capability 1, if any other information is necessary</w:t>
      </w:r>
    </w:p>
    <w:p w14:paraId="4E8586C9" w14:textId="77777777" w:rsidR="008C3C74" w:rsidRPr="00CF11D0" w:rsidRDefault="008C3C74" w:rsidP="008C3C74">
      <w:pPr>
        <w:pStyle w:val="ListParagraph"/>
        <w:numPr>
          <w:ilvl w:val="0"/>
          <w:numId w:val="11"/>
        </w:numPr>
        <w:overflowPunct w:val="0"/>
        <w:autoSpaceDE w:val="0"/>
        <w:autoSpaceDN w:val="0"/>
        <w:adjustRightInd w:val="0"/>
        <w:spacing w:after="180"/>
        <w:contextualSpacing/>
        <w:textAlignment w:val="baseline"/>
      </w:pPr>
      <w:r w:rsidRPr="00CF11D0">
        <w:t>For UE capability 2 and UE capability 3, in addition to signalling “UL full power tx capability”, further information on UE capability are signalled if needed</w:t>
      </w:r>
    </w:p>
    <w:p w14:paraId="73909E2A" w14:textId="77777777" w:rsidR="008C3C74" w:rsidRPr="00CF11D0" w:rsidRDefault="008C3C74" w:rsidP="008C3C74">
      <w:pPr>
        <w:pStyle w:val="ListParagraph"/>
        <w:numPr>
          <w:ilvl w:val="1"/>
          <w:numId w:val="11"/>
        </w:numPr>
        <w:overflowPunct w:val="0"/>
        <w:autoSpaceDE w:val="0"/>
        <w:autoSpaceDN w:val="0"/>
        <w:adjustRightInd w:val="0"/>
        <w:spacing w:after="180"/>
        <w:contextualSpacing/>
        <w:textAlignment w:val="baseline"/>
      </w:pPr>
      <w:r w:rsidRPr="00CF11D0">
        <w:t>FFS: Details such as support of UE capability signaling of supported one or group of TPMI precoder(s) for full power transmission, support different number of SRS ports for resources for codebook, and other UE capability signaling can be introduced</w:t>
      </w:r>
    </w:p>
    <w:p w14:paraId="0E10A699" w14:textId="77777777" w:rsidR="008C3C74" w:rsidRPr="00CF11D0" w:rsidRDefault="008C3C74" w:rsidP="008C3C74">
      <w:pPr>
        <w:pStyle w:val="ListParagraph"/>
        <w:numPr>
          <w:ilvl w:val="1"/>
          <w:numId w:val="11"/>
        </w:numPr>
        <w:overflowPunct w:val="0"/>
        <w:autoSpaceDE w:val="0"/>
        <w:autoSpaceDN w:val="0"/>
        <w:adjustRightInd w:val="0"/>
        <w:spacing w:after="180"/>
        <w:contextualSpacing/>
        <w:textAlignment w:val="baseline"/>
      </w:pPr>
      <w:r w:rsidRPr="00CF11D0">
        <w:t>FFS: Whether full uplink TX power capability can be explicitly/implicitly derived from the TPMI/TPMI group precoders for full power transmission</w:t>
      </w:r>
    </w:p>
    <w:p w14:paraId="2FD40071" w14:textId="77777777" w:rsidR="008C3C74" w:rsidRPr="00AD39A8" w:rsidRDefault="008C3C74" w:rsidP="008C3C74">
      <w:r w:rsidRPr="00AD39A8">
        <w:t>UEs with full power uplink transmissions are those Rel-16 UEs which can transmit at full power at least for rank1</w:t>
      </w:r>
    </w:p>
    <w:p w14:paraId="7321C61D" w14:textId="77777777" w:rsidR="008C3C74" w:rsidRPr="00AD39A8" w:rsidRDefault="008C3C74" w:rsidP="008C3C74">
      <w:r w:rsidRPr="00AD39A8">
        <w:t>The signalling of above information does not imply any specific UE PA architecture implementation.</w:t>
      </w:r>
    </w:p>
    <w:p w14:paraId="091C485C" w14:textId="77777777" w:rsidR="008C3C74" w:rsidRPr="008C3C74" w:rsidRDefault="008C3C74" w:rsidP="008C3C74">
      <w:pPr>
        <w:ind w:left="1440" w:hanging="1440"/>
        <w:rPr>
          <w:b/>
          <w:sz w:val="22"/>
          <w:highlight w:val="green"/>
          <w:u w:val="single"/>
          <w:lang w:eastAsia="x-none"/>
        </w:rPr>
      </w:pPr>
      <w:r w:rsidRPr="008C3C74">
        <w:rPr>
          <w:b/>
          <w:sz w:val="22"/>
          <w:highlight w:val="green"/>
          <w:u w:val="single"/>
          <w:lang w:eastAsia="x-none"/>
        </w:rPr>
        <w:t>Agreement</w:t>
      </w:r>
    </w:p>
    <w:p w14:paraId="1D10AB7E" w14:textId="77777777" w:rsidR="008C3C74" w:rsidRPr="00787D61" w:rsidRDefault="008C3C74" w:rsidP="008C3C74">
      <w:pPr>
        <w:rPr>
          <w:highlight w:val="cyan"/>
          <w:lang w:eastAsia="zh-CN"/>
        </w:rPr>
      </w:pPr>
      <w:r w:rsidRPr="009E03B4">
        <w:rPr>
          <w:lang w:eastAsia="zh-CN"/>
        </w:rPr>
        <w:t>RAN1 will select one of the</w:t>
      </w:r>
      <w:r w:rsidRPr="00F05796">
        <w:rPr>
          <w:rFonts w:hint="eastAsia"/>
          <w:lang w:eastAsia="zh-CN"/>
        </w:rPr>
        <w:t xml:space="preserve"> </w:t>
      </w:r>
      <w:r w:rsidRPr="00F05796">
        <w:rPr>
          <w:lang w:eastAsia="zh-CN"/>
        </w:rPr>
        <w:t xml:space="preserve">alternative solutions below to support UE capability 2. Further clarification or details are needed for Alt1, Alt3-1, Alt3-2, and Alt5. </w:t>
      </w:r>
      <w:r w:rsidRPr="00787D61">
        <w:rPr>
          <w:highlight w:val="cyan"/>
          <w:lang w:eastAsia="zh-CN"/>
        </w:rPr>
        <w:t>Email discussion by 17</w:t>
      </w:r>
      <w:r w:rsidRPr="00787D61">
        <w:rPr>
          <w:highlight w:val="cyan"/>
          <w:vertAlign w:val="superscript"/>
          <w:lang w:eastAsia="zh-CN"/>
        </w:rPr>
        <w:t>th</w:t>
      </w:r>
      <w:r w:rsidRPr="00787D61">
        <w:rPr>
          <w:highlight w:val="cyan"/>
          <w:lang w:eastAsia="zh-CN"/>
        </w:rPr>
        <w:t xml:space="preserve"> </w:t>
      </w:r>
      <w:r>
        <w:rPr>
          <w:highlight w:val="cyan"/>
          <w:lang w:eastAsia="zh-CN"/>
        </w:rPr>
        <w:t xml:space="preserve">of </w:t>
      </w:r>
      <w:r w:rsidRPr="00787D61">
        <w:rPr>
          <w:highlight w:val="cyan"/>
          <w:lang w:eastAsia="zh-CN"/>
        </w:rPr>
        <w:t>April for companies to provide clarification on Alt1, Alt3-1, Alt3-2, and Alt5</w:t>
      </w:r>
      <w:r>
        <w:rPr>
          <w:highlight w:val="cyan"/>
          <w:lang w:eastAsia="zh-CN"/>
        </w:rPr>
        <w:t xml:space="preserve">. To be </w:t>
      </w:r>
      <w:r w:rsidRPr="00787D61">
        <w:rPr>
          <w:highlight w:val="cyan"/>
          <w:lang w:eastAsia="zh-CN"/>
        </w:rPr>
        <w:t xml:space="preserve">coordinated by Rakesh </w:t>
      </w:r>
      <w:r>
        <w:rPr>
          <w:highlight w:val="cyan"/>
          <w:lang w:eastAsia="zh-CN"/>
        </w:rPr>
        <w:t>(</w:t>
      </w:r>
      <w:r w:rsidRPr="00787D61">
        <w:rPr>
          <w:highlight w:val="cyan"/>
          <w:lang w:eastAsia="zh-CN"/>
        </w:rPr>
        <w:t>vivo).</w:t>
      </w:r>
    </w:p>
    <w:p w14:paraId="238FD1D9" w14:textId="77777777" w:rsidR="008C3C74" w:rsidRPr="00647466" w:rsidRDefault="008C3C74" w:rsidP="008C3C74">
      <w:pPr>
        <w:numPr>
          <w:ilvl w:val="0"/>
          <w:numId w:val="12"/>
        </w:numPr>
        <w:overflowPunct/>
        <w:autoSpaceDE/>
        <w:autoSpaceDN/>
        <w:adjustRightInd/>
        <w:spacing w:after="0"/>
        <w:textAlignment w:val="auto"/>
        <w:rPr>
          <w:lang w:eastAsia="x-none"/>
        </w:rPr>
      </w:pPr>
      <w:r w:rsidRPr="00647466">
        <w:rPr>
          <w:lang w:eastAsia="x-none"/>
        </w:rPr>
        <w:t>A</w:t>
      </w:r>
      <w:r w:rsidRPr="00647466">
        <w:rPr>
          <w:rFonts w:hint="eastAsia"/>
          <w:lang w:eastAsia="x-none"/>
        </w:rPr>
        <w:t>lt1:</w:t>
      </w:r>
      <w:r w:rsidRPr="00647466">
        <w:rPr>
          <w:lang w:eastAsia="x-none"/>
        </w:rPr>
        <w:t xml:space="preserve"> </w:t>
      </w:r>
      <w:r w:rsidRPr="00647466">
        <w:rPr>
          <w:rFonts w:hint="eastAsia"/>
          <w:lang w:eastAsia="x-none"/>
        </w:rPr>
        <w:t xml:space="preserve">Option1-1 </w:t>
      </w:r>
      <w:r w:rsidRPr="00647466">
        <w:rPr>
          <w:lang w:eastAsia="x-none"/>
        </w:rPr>
        <w:t>(Support a new codebookSubset for non-coherent and partial-coherent transmission capable UEs, e.g. for 2Tx the new codeboookSubset is all non-antenna selection TPMIs or with only TPMI [1 1] for rank 1)</w:t>
      </w:r>
    </w:p>
    <w:p w14:paraId="5F7239D6" w14:textId="77777777" w:rsidR="008C3C74" w:rsidRPr="00647466" w:rsidRDefault="008C3C74" w:rsidP="008C3C74">
      <w:pPr>
        <w:numPr>
          <w:ilvl w:val="0"/>
          <w:numId w:val="12"/>
        </w:numPr>
        <w:overflowPunct/>
        <w:autoSpaceDE/>
        <w:autoSpaceDN/>
        <w:adjustRightInd/>
        <w:spacing w:after="0"/>
        <w:textAlignment w:val="auto"/>
        <w:rPr>
          <w:lang w:eastAsia="x-none"/>
        </w:rPr>
      </w:pPr>
      <w:r w:rsidRPr="00647466">
        <w:rPr>
          <w:lang w:eastAsia="x-none"/>
        </w:rPr>
        <w:t>Alt3-1: Option3+Option2 (</w:t>
      </w:r>
      <w:r w:rsidRPr="00647466">
        <w:rPr>
          <w:rFonts w:hint="eastAsia"/>
          <w:lang w:eastAsia="x-none"/>
        </w:rPr>
        <w:t>M</w:t>
      </w:r>
      <w:r w:rsidRPr="00647466">
        <w:rPr>
          <w:lang w:eastAsia="x-none"/>
        </w:rPr>
        <w:t>ultiple SRS resources with different number of SRS port(s</w:t>
      </w:r>
      <w:r w:rsidRPr="00647466">
        <w:rPr>
          <w:rFonts w:hint="eastAsia"/>
          <w:lang w:eastAsia="x-none"/>
        </w:rPr>
        <w:t>)</w:t>
      </w:r>
      <w:r w:rsidRPr="00647466">
        <w:rPr>
          <w:lang w:eastAsia="x-none"/>
        </w:rPr>
        <w:t xml:space="preserve"> in each resource)</w:t>
      </w:r>
    </w:p>
    <w:p w14:paraId="3C21B5F0" w14:textId="77777777" w:rsidR="008C3C74" w:rsidRPr="002F06C5" w:rsidRDefault="008C3C74" w:rsidP="008C3C74">
      <w:pPr>
        <w:pStyle w:val="ListParagraph"/>
        <w:numPr>
          <w:ilvl w:val="1"/>
          <w:numId w:val="12"/>
        </w:numPr>
        <w:overflowPunct w:val="0"/>
        <w:autoSpaceDE w:val="0"/>
        <w:autoSpaceDN w:val="0"/>
        <w:adjustRightInd w:val="0"/>
        <w:contextualSpacing/>
        <w:jc w:val="both"/>
        <w:textAlignment w:val="baseline"/>
      </w:pPr>
      <w:r w:rsidRPr="002F06C5">
        <w:lastRenderedPageBreak/>
        <w:t>FFS: Whether to additionally support Option 1-2</w:t>
      </w:r>
    </w:p>
    <w:p w14:paraId="744D80F1" w14:textId="77777777" w:rsidR="008C3C74" w:rsidRPr="00DE2F22" w:rsidRDefault="008C3C74" w:rsidP="008C3C74">
      <w:pPr>
        <w:numPr>
          <w:ilvl w:val="0"/>
          <w:numId w:val="12"/>
        </w:numPr>
        <w:overflowPunct/>
        <w:autoSpaceDE/>
        <w:autoSpaceDN/>
        <w:adjustRightInd/>
        <w:spacing w:after="0"/>
        <w:textAlignment w:val="auto"/>
        <w:rPr>
          <w:lang w:eastAsia="x-none"/>
        </w:rPr>
      </w:pPr>
      <w:r w:rsidRPr="00DE2F22">
        <w:rPr>
          <w:lang w:eastAsia="x-none"/>
        </w:rPr>
        <w:t>Alt3-2: Option3+Option2+</w:t>
      </w:r>
      <w:r w:rsidRPr="00DE2F22">
        <w:rPr>
          <w:rFonts w:hint="eastAsia"/>
          <w:lang w:eastAsia="x-none"/>
        </w:rPr>
        <w:t xml:space="preserve"> Option1-1</w:t>
      </w:r>
      <w:r w:rsidRPr="00DE2F22">
        <w:rPr>
          <w:lang w:eastAsia="x-none"/>
        </w:rPr>
        <w:t xml:space="preserve"> (</w:t>
      </w:r>
      <w:r w:rsidRPr="00DE2F22">
        <w:rPr>
          <w:rFonts w:hint="eastAsia"/>
          <w:lang w:eastAsia="x-none"/>
        </w:rPr>
        <w:t>M</w:t>
      </w:r>
      <w:r w:rsidRPr="00DE2F22">
        <w:rPr>
          <w:lang w:eastAsia="x-none"/>
        </w:rPr>
        <w:t>ultiple SRS resources with different number of SRS port(s</w:t>
      </w:r>
      <w:r w:rsidRPr="00DE2F22">
        <w:rPr>
          <w:rFonts w:hint="eastAsia"/>
          <w:lang w:eastAsia="x-none"/>
        </w:rPr>
        <w:t>)</w:t>
      </w:r>
      <w:r w:rsidRPr="00DE2F22">
        <w:rPr>
          <w:lang w:eastAsia="x-none"/>
        </w:rPr>
        <w:t xml:space="preserve"> in each resource)</w:t>
      </w:r>
    </w:p>
    <w:p w14:paraId="5C5885B3" w14:textId="77777777" w:rsidR="008C3C74" w:rsidRPr="00DE2F22" w:rsidRDefault="008C3C74" w:rsidP="008C3C74">
      <w:pPr>
        <w:numPr>
          <w:ilvl w:val="0"/>
          <w:numId w:val="12"/>
        </w:numPr>
        <w:overflowPunct/>
        <w:autoSpaceDE/>
        <w:autoSpaceDN/>
        <w:adjustRightInd/>
        <w:spacing w:after="0"/>
        <w:textAlignment w:val="auto"/>
        <w:rPr>
          <w:lang w:eastAsia="x-none"/>
        </w:rPr>
      </w:pPr>
      <w:r w:rsidRPr="00DE2F22">
        <w:rPr>
          <w:lang w:eastAsia="x-none"/>
        </w:rPr>
        <w:t>Alt5: FDM multi-port simultaneous transmission</w:t>
      </w:r>
    </w:p>
    <w:p w14:paraId="040224DB" w14:textId="77777777" w:rsidR="00050160" w:rsidRDefault="00050160" w:rsidP="00C3348F">
      <w:pPr>
        <w:rPr>
          <w:sz w:val="24"/>
          <w:szCs w:val="24"/>
        </w:rPr>
      </w:pPr>
    </w:p>
    <w:p w14:paraId="708D55D3" w14:textId="77777777" w:rsidR="00050160" w:rsidRPr="00C3348F" w:rsidRDefault="00050160" w:rsidP="00C3348F">
      <w:pPr>
        <w:rPr>
          <w:sz w:val="24"/>
          <w:szCs w:val="24"/>
        </w:rPr>
      </w:pPr>
    </w:p>
    <w:p w14:paraId="253CFAE3" w14:textId="2AAD8655" w:rsidR="00822CF7" w:rsidRDefault="00EF42A8" w:rsidP="00822CF7">
      <w:pPr>
        <w:pStyle w:val="Heading1"/>
        <w:rPr>
          <w:lang w:val="en-US"/>
        </w:rPr>
      </w:pPr>
      <w:r>
        <w:rPr>
          <w:lang w:val="en-US"/>
        </w:rPr>
        <w:t xml:space="preserve">Full Power Transmission for UL </w:t>
      </w:r>
    </w:p>
    <w:p w14:paraId="70B9DDF3" w14:textId="1BFA3E38" w:rsidR="008149BA" w:rsidRDefault="001F0291" w:rsidP="008149BA">
      <w:pPr>
        <w:contextualSpacing/>
        <w:jc w:val="both"/>
        <w:rPr>
          <w:sz w:val="24"/>
        </w:rPr>
      </w:pPr>
      <w:r>
        <w:rPr>
          <w:sz w:val="24"/>
        </w:rPr>
        <w:t xml:space="preserve">In our view removing the codebook entries with zero power for any antenna element does not impact the performance significantly.  Hence for codebook based MIMO the network can choose the codebook entries by eliminating the specific entries which have zero in any antenna branch.  However, if the UE is cable of supporting full transmission power, we would like to have this indication is available to the network.  Hence </w:t>
      </w:r>
      <w:r w:rsidR="008C3C74">
        <w:rPr>
          <w:sz w:val="24"/>
        </w:rPr>
        <w:t>we prefer Alternative 1 for UE capability 2</w:t>
      </w:r>
      <w:r w:rsidR="00F3062F">
        <w:rPr>
          <w:sz w:val="24"/>
        </w:rPr>
        <w:t>.</w:t>
      </w:r>
    </w:p>
    <w:p w14:paraId="15EDDF5A" w14:textId="77777777" w:rsidR="00095043" w:rsidRDefault="00095043" w:rsidP="00095043">
      <w:pPr>
        <w:contextualSpacing/>
        <w:jc w:val="both"/>
        <w:rPr>
          <w:sz w:val="24"/>
        </w:rPr>
      </w:pPr>
    </w:p>
    <w:p w14:paraId="64E407B3" w14:textId="7182EEAE" w:rsidR="008C3C74" w:rsidRPr="008C3C74" w:rsidRDefault="00790B48" w:rsidP="008C3C74">
      <w:pPr>
        <w:overflowPunct/>
        <w:autoSpaceDE/>
        <w:autoSpaceDN/>
        <w:adjustRightInd/>
        <w:spacing w:after="0"/>
        <w:textAlignment w:val="auto"/>
        <w:rPr>
          <w:sz w:val="24"/>
          <w:szCs w:val="24"/>
          <w:lang w:eastAsia="x-none"/>
        </w:rPr>
      </w:pPr>
      <w:r w:rsidRPr="00162D86">
        <w:rPr>
          <w:b/>
          <w:sz w:val="24"/>
        </w:rPr>
        <w:t>Proposal</w:t>
      </w:r>
      <w:r>
        <w:rPr>
          <w:b/>
          <w:sz w:val="24"/>
        </w:rPr>
        <w:t>:</w:t>
      </w:r>
      <w:r w:rsidR="00095043" w:rsidRPr="00162D86">
        <w:rPr>
          <w:b/>
          <w:sz w:val="24"/>
        </w:rPr>
        <w:t xml:space="preserve"> </w:t>
      </w:r>
      <w:r w:rsidR="008149BA">
        <w:rPr>
          <w:b/>
          <w:sz w:val="24"/>
        </w:rPr>
        <w:t xml:space="preserve"> </w:t>
      </w:r>
      <w:r w:rsidR="008C3C74" w:rsidRPr="008C3C74">
        <w:rPr>
          <w:sz w:val="24"/>
          <w:szCs w:val="24"/>
        </w:rPr>
        <w:t xml:space="preserve">Support </w:t>
      </w:r>
      <w:r w:rsidR="008C3C74" w:rsidRPr="008C3C74">
        <w:rPr>
          <w:sz w:val="24"/>
          <w:szCs w:val="24"/>
          <w:lang w:eastAsia="x-none"/>
        </w:rPr>
        <w:t>A</w:t>
      </w:r>
      <w:r w:rsidR="008C3C74" w:rsidRPr="008C3C74">
        <w:rPr>
          <w:rFonts w:hint="eastAsia"/>
          <w:sz w:val="24"/>
          <w:szCs w:val="24"/>
          <w:lang w:eastAsia="x-none"/>
        </w:rPr>
        <w:t>lt1:</w:t>
      </w:r>
      <w:r w:rsidR="008C3C74" w:rsidRPr="008C3C74">
        <w:rPr>
          <w:sz w:val="24"/>
          <w:szCs w:val="24"/>
          <w:lang w:eastAsia="x-none"/>
        </w:rPr>
        <w:t xml:space="preserve"> </w:t>
      </w:r>
      <w:r w:rsidR="008C3C74" w:rsidRPr="008C3C74">
        <w:rPr>
          <w:rFonts w:hint="eastAsia"/>
          <w:sz w:val="24"/>
          <w:szCs w:val="24"/>
          <w:lang w:eastAsia="x-none"/>
        </w:rPr>
        <w:t xml:space="preserve">Option1-1 </w:t>
      </w:r>
      <w:r w:rsidR="008C3C74" w:rsidRPr="008C3C74">
        <w:rPr>
          <w:sz w:val="24"/>
          <w:szCs w:val="24"/>
          <w:lang w:eastAsia="x-none"/>
        </w:rPr>
        <w:t>(Support a new codebookSubset for non-coherent and partial-coherent transmission capable UEs, e.g. for 2Tx the new codeboookSubset is all non-antenna selection TPMIs or with only TPMI [1 1] for rank 1)</w:t>
      </w:r>
    </w:p>
    <w:p w14:paraId="7CFD425A" w14:textId="77777777" w:rsidR="003732F8" w:rsidRDefault="003732F8" w:rsidP="003732F8">
      <w:pPr>
        <w:contextualSpacing/>
        <w:jc w:val="both"/>
        <w:rPr>
          <w:sz w:val="24"/>
          <w:szCs w:val="24"/>
        </w:rPr>
      </w:pPr>
    </w:p>
    <w:p w14:paraId="60279549" w14:textId="3F83AE61" w:rsidR="003732F8" w:rsidRPr="003732F8" w:rsidRDefault="003732F8" w:rsidP="008C3C74">
      <w:pPr>
        <w:contextualSpacing/>
        <w:jc w:val="both"/>
        <w:rPr>
          <w:sz w:val="24"/>
          <w:szCs w:val="24"/>
        </w:rPr>
      </w:pPr>
      <w:r>
        <w:rPr>
          <w:sz w:val="24"/>
          <w:szCs w:val="24"/>
        </w:rPr>
        <w:t xml:space="preserve">As this option will solve the problem and it is up to the network how to allocate the TPMI and decode the PUSCH. </w:t>
      </w:r>
    </w:p>
    <w:p w14:paraId="5BEDDEF4" w14:textId="77777777" w:rsidR="003732F8" w:rsidRDefault="003732F8" w:rsidP="00095043">
      <w:pPr>
        <w:jc w:val="both"/>
        <w:rPr>
          <w:b/>
          <w:sz w:val="24"/>
        </w:rPr>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7527A7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790B48">
        <w:rPr>
          <w:sz w:val="24"/>
          <w:szCs w:val="24"/>
          <w:lang w:val="en-GB"/>
        </w:rPr>
        <w:t xml:space="preserve"> provided our views on </w:t>
      </w:r>
      <w:r w:rsidR="00790B48">
        <w:rPr>
          <w:sz w:val="24"/>
          <w:lang w:eastAsia="x-none"/>
        </w:rPr>
        <w:t>full power transmission for uplink transmission</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6B8438A8" w14:textId="470B8930" w:rsidR="008C3C74" w:rsidRPr="008C3C74" w:rsidRDefault="008C3C74" w:rsidP="008C3C74">
      <w:pPr>
        <w:overflowPunct/>
        <w:autoSpaceDE/>
        <w:autoSpaceDN/>
        <w:adjustRightInd/>
        <w:spacing w:after="0"/>
        <w:textAlignment w:val="auto"/>
        <w:rPr>
          <w:sz w:val="24"/>
          <w:szCs w:val="24"/>
          <w:lang w:eastAsia="x-none"/>
        </w:rPr>
      </w:pPr>
      <w:r w:rsidRPr="00162D86">
        <w:rPr>
          <w:b/>
          <w:sz w:val="24"/>
        </w:rPr>
        <w:t>Proposal</w:t>
      </w:r>
      <w:bookmarkStart w:id="9" w:name="_GoBack"/>
      <w:bookmarkEnd w:id="9"/>
      <w:r>
        <w:rPr>
          <w:b/>
          <w:sz w:val="24"/>
        </w:rPr>
        <w:t>:</w:t>
      </w:r>
      <w:r w:rsidRPr="00162D86">
        <w:rPr>
          <w:b/>
          <w:sz w:val="24"/>
        </w:rPr>
        <w:t xml:space="preserve"> </w:t>
      </w:r>
      <w:r>
        <w:rPr>
          <w:b/>
          <w:sz w:val="24"/>
        </w:rPr>
        <w:t xml:space="preserve"> </w:t>
      </w:r>
      <w:r w:rsidRPr="008C3C74">
        <w:rPr>
          <w:sz w:val="24"/>
          <w:szCs w:val="24"/>
        </w:rPr>
        <w:t xml:space="preserve">Support </w:t>
      </w:r>
      <w:r w:rsidRPr="008C3C74">
        <w:rPr>
          <w:sz w:val="24"/>
          <w:szCs w:val="24"/>
          <w:lang w:eastAsia="x-none"/>
        </w:rPr>
        <w:t>A</w:t>
      </w:r>
      <w:r w:rsidRPr="008C3C74">
        <w:rPr>
          <w:rFonts w:hint="eastAsia"/>
          <w:sz w:val="24"/>
          <w:szCs w:val="24"/>
          <w:lang w:eastAsia="x-none"/>
        </w:rPr>
        <w:t>lt1:</w:t>
      </w:r>
      <w:r w:rsidRPr="008C3C74">
        <w:rPr>
          <w:sz w:val="24"/>
          <w:szCs w:val="24"/>
          <w:lang w:eastAsia="x-none"/>
        </w:rPr>
        <w:t xml:space="preserve"> </w:t>
      </w:r>
      <w:r w:rsidRPr="008C3C74">
        <w:rPr>
          <w:rFonts w:hint="eastAsia"/>
          <w:sz w:val="24"/>
          <w:szCs w:val="24"/>
          <w:lang w:eastAsia="x-none"/>
        </w:rPr>
        <w:t xml:space="preserve">Option1-1 </w:t>
      </w:r>
      <w:r w:rsidRPr="008C3C74">
        <w:rPr>
          <w:sz w:val="24"/>
          <w:szCs w:val="24"/>
          <w:lang w:eastAsia="x-none"/>
        </w:rPr>
        <w:t>(Support a new codebookSubset for non-coherent and partial-coherent transmission capable UEs, e.g. for 2Tx the new codeboookSubset is all non-antenna selection TPMIs or with only TPMI [1 1] for rank 1)</w:t>
      </w:r>
    </w:p>
    <w:p w14:paraId="52064D02" w14:textId="77777777" w:rsidR="003732F8" w:rsidRDefault="003732F8" w:rsidP="001F0291">
      <w:pPr>
        <w:jc w:val="both"/>
        <w:rPr>
          <w:b/>
          <w:sz w:val="24"/>
        </w:rPr>
      </w:pP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E7A94" w14:textId="77777777" w:rsidR="00CF54B5" w:rsidRDefault="00CF54B5" w:rsidP="00A03DF3">
      <w:pPr>
        <w:spacing w:after="0"/>
      </w:pPr>
      <w:r>
        <w:separator/>
      </w:r>
    </w:p>
  </w:endnote>
  <w:endnote w:type="continuationSeparator" w:id="0">
    <w:p w14:paraId="59C341E2" w14:textId="77777777" w:rsidR="00CF54B5" w:rsidRDefault="00CF54B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818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183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DDC6C" w14:textId="77777777" w:rsidR="00CF54B5" w:rsidRDefault="00CF54B5" w:rsidP="00A03DF3">
      <w:pPr>
        <w:spacing w:after="0"/>
      </w:pPr>
      <w:r>
        <w:separator/>
      </w:r>
    </w:p>
  </w:footnote>
  <w:footnote w:type="continuationSeparator" w:id="0">
    <w:p w14:paraId="2CD9126F" w14:textId="77777777" w:rsidR="00CF54B5" w:rsidRDefault="00CF54B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13343"/>
    <w:multiLevelType w:val="hybridMultilevel"/>
    <w:tmpl w:val="44C2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7"/>
  </w:num>
  <w:num w:numId="6">
    <w:abstractNumId w:val="9"/>
  </w:num>
  <w:num w:numId="7">
    <w:abstractNumId w:val="12"/>
  </w:num>
  <w:num w:numId="8">
    <w:abstractNumId w:val="10"/>
  </w:num>
  <w:num w:numId="9">
    <w:abstractNumId w:val="4"/>
  </w:num>
  <w:num w:numId="10">
    <w:abstractNumId w:val="11"/>
  </w:num>
  <w:num w:numId="11">
    <w:abstractNumId w:val="6"/>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DEC"/>
    <w:rsid w:val="00014FB9"/>
    <w:rsid w:val="000152F8"/>
    <w:rsid w:val="00017D31"/>
    <w:rsid w:val="00022EF0"/>
    <w:rsid w:val="000232BC"/>
    <w:rsid w:val="00024728"/>
    <w:rsid w:val="000250DA"/>
    <w:rsid w:val="000250E0"/>
    <w:rsid w:val="00033AB4"/>
    <w:rsid w:val="000343A6"/>
    <w:rsid w:val="00040085"/>
    <w:rsid w:val="00043767"/>
    <w:rsid w:val="000462AB"/>
    <w:rsid w:val="00050160"/>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3671F"/>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0291"/>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16873"/>
    <w:rsid w:val="00220854"/>
    <w:rsid w:val="002214E7"/>
    <w:rsid w:val="0022266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59AF"/>
    <w:rsid w:val="0035783D"/>
    <w:rsid w:val="00361C40"/>
    <w:rsid w:val="00363695"/>
    <w:rsid w:val="003709E5"/>
    <w:rsid w:val="003732F8"/>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07441"/>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1701B"/>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2F17"/>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31"/>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93DB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2A18"/>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3C74"/>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9F6517"/>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5C88"/>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1835"/>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D4BCE"/>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2B6C"/>
    <w:rsid w:val="00C25CC3"/>
    <w:rsid w:val="00C27BF9"/>
    <w:rsid w:val="00C30702"/>
    <w:rsid w:val="00C31268"/>
    <w:rsid w:val="00C31810"/>
    <w:rsid w:val="00C3348F"/>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848"/>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CF54B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541B1"/>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91"/>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062F"/>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ì¬º¥¹¥È¶ÎÂä Char,ÁÐ³ö¶ÎÂä Char,¥ê¥¹¥È¶ÎÂä Char,列表段落1 Char,—ño’i—Ž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95535-68C7-4336-8AAC-3965BB20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213</cp:revision>
  <dcterms:created xsi:type="dcterms:W3CDTF">2018-08-10T23:22:00Z</dcterms:created>
  <dcterms:modified xsi:type="dcterms:W3CDTF">2019-05-03T22:39:00Z</dcterms:modified>
</cp:coreProperties>
</file>